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43A4" w14:textId="4BFF7612" w:rsidR="000E026F" w:rsidRPr="000E026F" w:rsidRDefault="0097043B" w:rsidP="5A7B4590">
      <w:pPr>
        <w:spacing w:after="0" w:line="240" w:lineRule="auto"/>
        <w:jc w:val="center"/>
        <w:textAlignment w:val="baseline"/>
        <w:rPr>
          <w:sz w:val="24"/>
          <w:szCs w:val="24"/>
          <w:highlight w:val="black"/>
        </w:rPr>
      </w:pPr>
      <w:r w:rsidRPr="07C8A95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2447CF">
        <w:rPr>
          <w:sz w:val="24"/>
          <w:szCs w:val="24"/>
        </w:rPr>
        <w:t>14</w:t>
      </w:r>
      <w:r w:rsidR="0048454A">
        <w:rPr>
          <w:sz w:val="24"/>
          <w:szCs w:val="24"/>
        </w:rPr>
        <w:t>/</w:t>
      </w:r>
      <w:r w:rsidR="002447CF">
        <w:rPr>
          <w:sz w:val="24"/>
          <w:szCs w:val="24"/>
        </w:rPr>
        <w:t>6</w:t>
      </w:r>
      <w:r w:rsidR="0048454A">
        <w:rPr>
          <w:sz w:val="24"/>
          <w:szCs w:val="24"/>
        </w:rPr>
        <w:t>/2022</w:t>
      </w:r>
    </w:p>
    <w:p w14:paraId="3FFC1292" w14:textId="034FEAC3" w:rsidR="1B3A604E" w:rsidRDefault="1B3A604E" w:rsidP="1B3A604E">
      <w:pPr>
        <w:spacing w:after="0" w:line="240" w:lineRule="auto"/>
        <w:jc w:val="center"/>
        <w:rPr>
          <w:b/>
          <w:bCs/>
          <w:color w:val="FF0000"/>
          <w:sz w:val="52"/>
          <w:szCs w:val="52"/>
        </w:rPr>
      </w:pPr>
    </w:p>
    <w:p w14:paraId="29A6E259" w14:textId="62FA0586" w:rsidR="000E026F" w:rsidRPr="000E026F" w:rsidRDefault="00983739" w:rsidP="5A7B4590">
      <w:pPr>
        <w:spacing w:after="0" w:line="240" w:lineRule="auto"/>
        <w:jc w:val="center"/>
        <w:textAlignment w:val="baseline"/>
        <w:rPr>
          <w:b/>
          <w:bCs/>
          <w:color w:val="FF0000"/>
          <w:sz w:val="52"/>
          <w:szCs w:val="52"/>
        </w:rPr>
      </w:pPr>
      <w:r w:rsidRPr="5A7B4590">
        <w:rPr>
          <w:b/>
          <w:bCs/>
          <w:color w:val="FF0000"/>
          <w:sz w:val="52"/>
          <w:szCs w:val="52"/>
        </w:rPr>
        <w:t xml:space="preserve"> </w:t>
      </w:r>
      <w:r w:rsidR="004833C6">
        <w:rPr>
          <w:b/>
          <w:bCs/>
          <w:color w:val="FF0000"/>
          <w:sz w:val="52"/>
          <w:szCs w:val="52"/>
        </w:rPr>
        <w:t xml:space="preserve">Pay Campaign - </w:t>
      </w:r>
      <w:r w:rsidR="001E0B0C">
        <w:rPr>
          <w:b/>
          <w:bCs/>
          <w:color w:val="FF0000"/>
          <w:sz w:val="52"/>
          <w:szCs w:val="52"/>
        </w:rPr>
        <w:t>Your Pay Rise is Already Late</w:t>
      </w:r>
      <w:r w:rsidRPr="5A7B4590">
        <w:rPr>
          <w:b/>
          <w:bCs/>
          <w:color w:val="FF0000"/>
          <w:sz w:val="52"/>
          <w:szCs w:val="52"/>
        </w:rPr>
        <w:t xml:space="preserve"> </w:t>
      </w:r>
    </w:p>
    <w:p w14:paraId="5084639D" w14:textId="3948A257" w:rsidR="000E026F" w:rsidRPr="000E026F" w:rsidRDefault="000E026F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711A07AB" w14:textId="2C32C7F2" w:rsidR="000E026F" w:rsidRDefault="5A7B4590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 w:rsidRPr="535274FF">
        <w:rPr>
          <w:rFonts w:ascii="Arial" w:eastAsia="Arial" w:hAnsi="Arial" w:cs="Arial"/>
          <w:sz w:val="24"/>
          <w:szCs w:val="24"/>
        </w:rPr>
        <w:t xml:space="preserve">Dear </w:t>
      </w:r>
      <w:r w:rsidR="002447CF">
        <w:rPr>
          <w:rFonts w:ascii="Arial" w:eastAsia="Arial" w:hAnsi="Arial" w:cs="Arial"/>
          <w:sz w:val="24"/>
          <w:szCs w:val="24"/>
        </w:rPr>
        <w:t>m</w:t>
      </w:r>
      <w:r w:rsidRPr="535274FF">
        <w:rPr>
          <w:rFonts w:ascii="Arial" w:eastAsia="Arial" w:hAnsi="Arial" w:cs="Arial"/>
          <w:sz w:val="24"/>
          <w:szCs w:val="24"/>
        </w:rPr>
        <w:t>ember</w:t>
      </w:r>
      <w:r w:rsidR="002B6C89">
        <w:rPr>
          <w:rFonts w:ascii="Arial" w:eastAsia="Arial" w:hAnsi="Arial" w:cs="Arial"/>
          <w:sz w:val="24"/>
          <w:szCs w:val="24"/>
        </w:rPr>
        <w:t>,</w:t>
      </w:r>
    </w:p>
    <w:p w14:paraId="7D76275B" w14:textId="38D0CF9C" w:rsidR="002B6C89" w:rsidRDefault="002B6C89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3DB96FC2" w14:textId="3E83D0AC" w:rsidR="002B6C89" w:rsidRDefault="006D64CC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Our</w:t>
      </w:r>
      <w:r w:rsidR="002B6C89">
        <w:rPr>
          <w:rFonts w:ascii="Arial" w:eastAsia="Arial" w:hAnsi="Arial" w:cs="Arial"/>
          <w:sz w:val="24"/>
          <w:szCs w:val="24"/>
        </w:rPr>
        <w:t xml:space="preserve"> annual pay award was due in </w:t>
      </w:r>
      <w:r w:rsidR="002B6C89" w:rsidRPr="002447CF">
        <w:rPr>
          <w:rFonts w:ascii="Arial" w:eastAsia="Arial" w:hAnsi="Arial" w:cs="Arial"/>
          <w:b/>
          <w:bCs/>
          <w:sz w:val="24"/>
          <w:szCs w:val="24"/>
        </w:rPr>
        <w:t>April 2022</w:t>
      </w:r>
      <w:r w:rsidR="002B6C89">
        <w:rPr>
          <w:rFonts w:ascii="Arial" w:eastAsia="Arial" w:hAnsi="Arial" w:cs="Arial"/>
          <w:sz w:val="24"/>
          <w:szCs w:val="24"/>
        </w:rPr>
        <w:t xml:space="preserve">, so </w:t>
      </w:r>
      <w:r>
        <w:rPr>
          <w:rFonts w:ascii="Arial" w:eastAsia="Arial" w:hAnsi="Arial" w:cs="Arial"/>
          <w:sz w:val="24"/>
          <w:szCs w:val="24"/>
        </w:rPr>
        <w:t>we</w:t>
      </w:r>
      <w:r w:rsidR="002B6C89">
        <w:rPr>
          <w:rFonts w:ascii="Arial" w:eastAsia="Arial" w:hAnsi="Arial" w:cs="Arial"/>
          <w:sz w:val="24"/>
          <w:szCs w:val="24"/>
        </w:rPr>
        <w:t xml:space="preserve"> are already</w:t>
      </w:r>
      <w:r w:rsidR="003C5C9E">
        <w:rPr>
          <w:rFonts w:ascii="Arial" w:eastAsia="Arial" w:hAnsi="Arial" w:cs="Arial"/>
          <w:sz w:val="24"/>
          <w:szCs w:val="24"/>
        </w:rPr>
        <w:t xml:space="preserve"> owed money</w:t>
      </w:r>
      <w:r w:rsidR="002B6C89">
        <w:rPr>
          <w:rFonts w:ascii="Arial" w:eastAsia="Arial" w:hAnsi="Arial" w:cs="Arial"/>
          <w:sz w:val="24"/>
          <w:szCs w:val="24"/>
        </w:rPr>
        <w:t xml:space="preserve"> by the government</w:t>
      </w:r>
      <w:r w:rsidR="003C5C9E">
        <w:rPr>
          <w:rFonts w:ascii="Arial" w:eastAsia="Arial" w:hAnsi="Arial" w:cs="Arial"/>
          <w:sz w:val="24"/>
          <w:szCs w:val="24"/>
        </w:rPr>
        <w:t>.</w:t>
      </w:r>
    </w:p>
    <w:p w14:paraId="06CF2898" w14:textId="5455137A" w:rsidR="006D64CC" w:rsidRDefault="006D64CC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66E79661" w14:textId="3DC05C73" w:rsidR="00D84C9B" w:rsidRDefault="006D64CC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NHS Pay Review Body (NHSPRB) has not yet officially released its recommendation this year</w:t>
      </w:r>
      <w:r w:rsidR="003C5C9E">
        <w:rPr>
          <w:rFonts w:ascii="Arial" w:eastAsia="Arial" w:hAnsi="Arial" w:cs="Arial"/>
          <w:sz w:val="24"/>
          <w:szCs w:val="24"/>
        </w:rPr>
        <w:t>, but it is likely to be in June</w:t>
      </w:r>
      <w:r>
        <w:rPr>
          <w:rFonts w:ascii="Arial" w:eastAsia="Arial" w:hAnsi="Arial" w:cs="Arial"/>
          <w:sz w:val="24"/>
          <w:szCs w:val="24"/>
        </w:rPr>
        <w:t xml:space="preserve">. Last year </w:t>
      </w:r>
      <w:r w:rsidR="00B93BAB"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93BAB">
        <w:rPr>
          <w:rFonts w:ascii="Arial" w:eastAsia="Arial" w:hAnsi="Arial" w:cs="Arial"/>
          <w:sz w:val="24"/>
          <w:szCs w:val="24"/>
        </w:rPr>
        <w:t>had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a </w:t>
      </w:r>
      <w:r w:rsidRPr="002447CF">
        <w:rPr>
          <w:rFonts w:ascii="Arial" w:eastAsia="Arial" w:hAnsi="Arial" w:cs="Arial"/>
          <w:b/>
          <w:bCs/>
          <w:sz w:val="24"/>
          <w:szCs w:val="24"/>
        </w:rPr>
        <w:t xml:space="preserve">4.8% </w:t>
      </w:r>
      <w:r w:rsidR="002447CF" w:rsidRPr="002447CF">
        <w:rPr>
          <w:rFonts w:ascii="Arial" w:eastAsia="Arial" w:hAnsi="Arial" w:cs="Arial"/>
          <w:b/>
          <w:bCs/>
          <w:sz w:val="24"/>
          <w:szCs w:val="24"/>
        </w:rPr>
        <w:t>real terms</w:t>
      </w:r>
      <w:proofErr w:type="gramEnd"/>
      <w:r w:rsidR="002447CF" w:rsidRPr="002447C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447CF">
        <w:rPr>
          <w:rFonts w:ascii="Arial" w:eastAsia="Arial" w:hAnsi="Arial" w:cs="Arial"/>
          <w:b/>
          <w:bCs/>
          <w:sz w:val="24"/>
          <w:szCs w:val="24"/>
        </w:rPr>
        <w:t>pay cut</w:t>
      </w:r>
      <w:r>
        <w:rPr>
          <w:rFonts w:ascii="Arial" w:eastAsia="Arial" w:hAnsi="Arial" w:cs="Arial"/>
          <w:sz w:val="24"/>
          <w:szCs w:val="24"/>
        </w:rPr>
        <w:t xml:space="preserve"> as inflation was 7.8% and </w:t>
      </w:r>
      <w:r w:rsidR="00B93BAB"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z w:val="24"/>
          <w:szCs w:val="24"/>
        </w:rPr>
        <w:t xml:space="preserve"> were given a 3% ‘Pay Award’. The Bank of England warns inflation will hit 10% </w:t>
      </w:r>
      <w:r w:rsidR="00E30C2F">
        <w:rPr>
          <w:rFonts w:ascii="Arial" w:eastAsia="Arial" w:hAnsi="Arial" w:cs="Arial"/>
          <w:sz w:val="24"/>
          <w:szCs w:val="24"/>
        </w:rPr>
        <w:t>by Autumn and</w:t>
      </w:r>
      <w:r w:rsidR="003C5C9E">
        <w:rPr>
          <w:rFonts w:ascii="Arial" w:eastAsia="Arial" w:hAnsi="Arial" w:cs="Arial"/>
          <w:sz w:val="24"/>
          <w:szCs w:val="24"/>
        </w:rPr>
        <w:t xml:space="preserve"> the NHSPRB is likely to offer around 3% again</w:t>
      </w:r>
      <w:r w:rsidR="00B93BAB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so </w:t>
      </w:r>
      <w:r w:rsidRPr="00F06F25"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 w:rsidR="00B93BAB" w:rsidRPr="00F06F25">
        <w:rPr>
          <w:rFonts w:ascii="Arial" w:eastAsia="Arial" w:hAnsi="Arial" w:cs="Arial"/>
          <w:b/>
          <w:bCs/>
          <w:sz w:val="24"/>
          <w:szCs w:val="24"/>
        </w:rPr>
        <w:t xml:space="preserve">planned </w:t>
      </w:r>
      <w:r w:rsidR="002447CF" w:rsidRPr="00F06F25">
        <w:rPr>
          <w:rFonts w:ascii="Arial" w:eastAsia="Arial" w:hAnsi="Arial" w:cs="Arial"/>
          <w:b/>
          <w:bCs/>
          <w:sz w:val="24"/>
          <w:szCs w:val="24"/>
        </w:rPr>
        <w:t xml:space="preserve">pay </w:t>
      </w:r>
      <w:r w:rsidRPr="00F06F25">
        <w:rPr>
          <w:rFonts w:ascii="Arial" w:eastAsia="Arial" w:hAnsi="Arial" w:cs="Arial"/>
          <w:b/>
          <w:bCs/>
          <w:sz w:val="24"/>
          <w:szCs w:val="24"/>
        </w:rPr>
        <w:t>cut of around 7%</w:t>
      </w:r>
      <w:r w:rsidR="00E30C2F" w:rsidRPr="00F06F25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6771DC55" w14:textId="77777777" w:rsidR="006D64CC" w:rsidRDefault="006D64CC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376989DB" w14:textId="7B2B2CAA" w:rsidR="00D84C9B" w:rsidRPr="000E026F" w:rsidRDefault="00D84C9B" w:rsidP="5A7B4590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NHSPRB and this Tory government have </w:t>
      </w:r>
      <w:r w:rsidR="0014375D">
        <w:rPr>
          <w:rFonts w:ascii="Arial" w:eastAsia="Arial" w:hAnsi="Arial" w:cs="Arial"/>
          <w:sz w:val="24"/>
          <w:szCs w:val="24"/>
        </w:rPr>
        <w:t xml:space="preserve">prior </w:t>
      </w:r>
      <w:r>
        <w:rPr>
          <w:rFonts w:ascii="Arial" w:eastAsia="Arial" w:hAnsi="Arial" w:cs="Arial"/>
          <w:sz w:val="24"/>
          <w:szCs w:val="24"/>
        </w:rPr>
        <w:t xml:space="preserve">form on </w:t>
      </w:r>
      <w:r w:rsidR="00BE202A">
        <w:rPr>
          <w:rFonts w:ascii="Arial" w:eastAsia="Arial" w:hAnsi="Arial" w:cs="Arial"/>
          <w:sz w:val="24"/>
          <w:szCs w:val="24"/>
        </w:rPr>
        <w:t>cutting our pay</w:t>
      </w:r>
      <w:r w:rsidR="0014375D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below is a chart showing</w:t>
      </w:r>
      <w:r w:rsidR="00D84509">
        <w:rPr>
          <w:rFonts w:ascii="Arial" w:eastAsia="Arial" w:hAnsi="Arial" w:cs="Arial"/>
          <w:sz w:val="24"/>
          <w:szCs w:val="24"/>
        </w:rPr>
        <w:t xml:space="preserve"> </w:t>
      </w:r>
      <w:r w:rsidR="00B8145B">
        <w:rPr>
          <w:rFonts w:ascii="Arial" w:eastAsia="Arial" w:hAnsi="Arial" w:cs="Arial"/>
          <w:sz w:val="24"/>
          <w:szCs w:val="24"/>
        </w:rPr>
        <w:t xml:space="preserve">our </w:t>
      </w:r>
      <w:r w:rsidR="00D84509">
        <w:rPr>
          <w:rFonts w:ascii="Arial" w:eastAsia="Arial" w:hAnsi="Arial" w:cs="Arial"/>
          <w:sz w:val="24"/>
          <w:szCs w:val="24"/>
        </w:rPr>
        <w:t xml:space="preserve">real-terms pay cuts </w:t>
      </w:r>
      <w:r w:rsidR="00292673">
        <w:rPr>
          <w:rFonts w:ascii="Arial" w:eastAsia="Arial" w:hAnsi="Arial" w:cs="Arial"/>
          <w:sz w:val="24"/>
          <w:szCs w:val="24"/>
        </w:rPr>
        <w:t>over the last 11 years</w:t>
      </w:r>
      <w:r w:rsidR="00E30C2F">
        <w:rPr>
          <w:rFonts w:ascii="Arial" w:eastAsia="Arial" w:hAnsi="Arial" w:cs="Arial"/>
          <w:sz w:val="24"/>
          <w:szCs w:val="24"/>
        </w:rPr>
        <w:t>, n</w:t>
      </w:r>
      <w:r w:rsidR="00292673">
        <w:rPr>
          <w:rFonts w:ascii="Arial" w:eastAsia="Arial" w:hAnsi="Arial" w:cs="Arial"/>
          <w:sz w:val="24"/>
          <w:szCs w:val="24"/>
        </w:rPr>
        <w:t>ote that</w:t>
      </w:r>
      <w:r w:rsidR="00B8145B">
        <w:rPr>
          <w:rFonts w:ascii="Arial" w:eastAsia="Arial" w:hAnsi="Arial" w:cs="Arial"/>
          <w:sz w:val="24"/>
          <w:szCs w:val="24"/>
        </w:rPr>
        <w:t xml:space="preserve"> some bands are actually paid a whole band less than what they were 11 years ago</w:t>
      </w:r>
      <w:r w:rsidR="00B93BAB">
        <w:rPr>
          <w:rFonts w:ascii="Arial" w:eastAsia="Arial" w:hAnsi="Arial" w:cs="Arial"/>
          <w:sz w:val="24"/>
          <w:szCs w:val="24"/>
        </w:rPr>
        <w:t xml:space="preserve"> in real-terms.</w:t>
      </w:r>
    </w:p>
    <w:p w14:paraId="77BDAD66" w14:textId="77777777" w:rsidR="00292673" w:rsidRDefault="00292673" w:rsidP="0029267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10347" w:type="dxa"/>
        <w:tblLook w:val="04A0" w:firstRow="1" w:lastRow="0" w:firstColumn="1" w:lastColumn="0" w:noHBand="0" w:noVBand="1"/>
      </w:tblPr>
      <w:tblGrid>
        <w:gridCol w:w="1794"/>
        <w:gridCol w:w="2051"/>
        <w:gridCol w:w="3559"/>
        <w:gridCol w:w="1257"/>
        <w:gridCol w:w="1686"/>
      </w:tblGrid>
      <w:tr w:rsidR="00292673" w:rsidRPr="00292673" w14:paraId="7CD23ABB" w14:textId="77777777" w:rsidTr="00292673">
        <w:trPr>
          <w:trHeight w:val="499"/>
        </w:trPr>
        <w:tc>
          <w:tcPr>
            <w:tcW w:w="1794" w:type="dxa"/>
          </w:tcPr>
          <w:p w14:paraId="203C038A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Pay Point</w:t>
            </w:r>
          </w:p>
        </w:tc>
        <w:tc>
          <w:tcPr>
            <w:tcW w:w="2051" w:type="dxa"/>
          </w:tcPr>
          <w:p w14:paraId="39609B9A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Salary 2010</w:t>
            </w:r>
          </w:p>
        </w:tc>
        <w:tc>
          <w:tcPr>
            <w:tcW w:w="3559" w:type="dxa"/>
          </w:tcPr>
          <w:p w14:paraId="4A3E2DF3" w14:textId="20DFD9CB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2010 Salary adjusted for inflation</w:t>
            </w:r>
            <w:r w:rsidR="00B96CFE">
              <w:rPr>
                <w:rFonts w:ascii="Arial" w:eastAsia="Arial" w:hAnsi="Arial" w:cs="Arial"/>
                <w:sz w:val="24"/>
                <w:szCs w:val="24"/>
              </w:rPr>
              <w:t xml:space="preserve"> (RPI)</w:t>
            </w:r>
          </w:p>
          <w:p w14:paraId="4E75964C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F06F25">
              <w:rPr>
                <w:rFonts w:ascii="Arial" w:eastAsia="Arial" w:hAnsi="Arial" w:cs="Arial"/>
                <w:i/>
                <w:iCs/>
                <w:sz w:val="24"/>
                <w:szCs w:val="24"/>
              </w:rPr>
              <w:t>What you should be paid now</w:t>
            </w:r>
            <w:r w:rsidRPr="00292673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257" w:type="dxa"/>
          </w:tcPr>
          <w:p w14:paraId="1013C558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Actual Salary 2021</w:t>
            </w:r>
          </w:p>
        </w:tc>
        <w:tc>
          <w:tcPr>
            <w:tcW w:w="1686" w:type="dxa"/>
          </w:tcPr>
          <w:p w14:paraId="61866B60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Real Terms Pay Cut Over 11 Years</w:t>
            </w:r>
          </w:p>
        </w:tc>
      </w:tr>
      <w:tr w:rsidR="00292673" w:rsidRPr="00292673" w14:paraId="587E2D10" w14:textId="77777777" w:rsidTr="00292673">
        <w:trPr>
          <w:trHeight w:val="306"/>
        </w:trPr>
        <w:tc>
          <w:tcPr>
            <w:tcW w:w="1794" w:type="dxa"/>
          </w:tcPr>
          <w:p w14:paraId="2824179D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Top of Band 2</w:t>
            </w:r>
          </w:p>
        </w:tc>
        <w:tc>
          <w:tcPr>
            <w:tcW w:w="2051" w:type="dxa"/>
          </w:tcPr>
          <w:p w14:paraId="0BAAA94C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£16,753</w:t>
            </w:r>
          </w:p>
        </w:tc>
        <w:tc>
          <w:tcPr>
            <w:tcW w:w="3559" w:type="dxa"/>
          </w:tcPr>
          <w:p w14:paraId="2D2D721F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£22,856</w:t>
            </w:r>
          </w:p>
        </w:tc>
        <w:tc>
          <w:tcPr>
            <w:tcW w:w="1257" w:type="dxa"/>
          </w:tcPr>
          <w:p w14:paraId="437FDADD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£19,918</w:t>
            </w:r>
          </w:p>
        </w:tc>
        <w:tc>
          <w:tcPr>
            <w:tcW w:w="1686" w:type="dxa"/>
          </w:tcPr>
          <w:p w14:paraId="1AFC34B1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£2,938</w:t>
            </w:r>
          </w:p>
        </w:tc>
      </w:tr>
      <w:tr w:rsidR="00292673" w:rsidRPr="00292673" w14:paraId="6C8E1064" w14:textId="77777777" w:rsidTr="00292673">
        <w:trPr>
          <w:trHeight w:val="306"/>
        </w:trPr>
        <w:tc>
          <w:tcPr>
            <w:tcW w:w="1794" w:type="dxa"/>
          </w:tcPr>
          <w:p w14:paraId="7B939294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Top of Band 3</w:t>
            </w:r>
          </w:p>
        </w:tc>
        <w:tc>
          <w:tcPr>
            <w:tcW w:w="2051" w:type="dxa"/>
          </w:tcPr>
          <w:p w14:paraId="676B3AD0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£18,557</w:t>
            </w:r>
          </w:p>
        </w:tc>
        <w:tc>
          <w:tcPr>
            <w:tcW w:w="3559" w:type="dxa"/>
          </w:tcPr>
          <w:p w14:paraId="17BC31EE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£25,317</w:t>
            </w:r>
          </w:p>
        </w:tc>
        <w:tc>
          <w:tcPr>
            <w:tcW w:w="1257" w:type="dxa"/>
          </w:tcPr>
          <w:p w14:paraId="29D42E4F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£21,777</w:t>
            </w:r>
          </w:p>
        </w:tc>
        <w:tc>
          <w:tcPr>
            <w:tcW w:w="1686" w:type="dxa"/>
          </w:tcPr>
          <w:p w14:paraId="4C01650A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£3,540</w:t>
            </w:r>
          </w:p>
        </w:tc>
      </w:tr>
      <w:tr w:rsidR="00292673" w:rsidRPr="00292673" w14:paraId="0D1981A3" w14:textId="77777777" w:rsidTr="00292673">
        <w:trPr>
          <w:trHeight w:val="306"/>
        </w:trPr>
        <w:tc>
          <w:tcPr>
            <w:tcW w:w="1794" w:type="dxa"/>
          </w:tcPr>
          <w:p w14:paraId="2117AB6A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Top of Band 4</w:t>
            </w:r>
          </w:p>
        </w:tc>
        <w:tc>
          <w:tcPr>
            <w:tcW w:w="2051" w:type="dxa"/>
          </w:tcPr>
          <w:p w14:paraId="2417C851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£21,798</w:t>
            </w:r>
          </w:p>
        </w:tc>
        <w:tc>
          <w:tcPr>
            <w:tcW w:w="3559" w:type="dxa"/>
          </w:tcPr>
          <w:p w14:paraId="3F6C97DA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£29,739</w:t>
            </w:r>
          </w:p>
        </w:tc>
        <w:tc>
          <w:tcPr>
            <w:tcW w:w="1257" w:type="dxa"/>
          </w:tcPr>
          <w:p w14:paraId="440A6A86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£24,882</w:t>
            </w:r>
          </w:p>
        </w:tc>
        <w:tc>
          <w:tcPr>
            <w:tcW w:w="1686" w:type="dxa"/>
          </w:tcPr>
          <w:p w14:paraId="5EA578D6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£4,857</w:t>
            </w:r>
          </w:p>
        </w:tc>
      </w:tr>
      <w:tr w:rsidR="00292673" w:rsidRPr="00292673" w14:paraId="46876DC8" w14:textId="77777777" w:rsidTr="00292673">
        <w:trPr>
          <w:trHeight w:val="306"/>
        </w:trPr>
        <w:tc>
          <w:tcPr>
            <w:tcW w:w="1794" w:type="dxa"/>
          </w:tcPr>
          <w:p w14:paraId="268F002A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Top of Band 5</w:t>
            </w:r>
          </w:p>
        </w:tc>
        <w:tc>
          <w:tcPr>
            <w:tcW w:w="2051" w:type="dxa"/>
          </w:tcPr>
          <w:p w14:paraId="57061CB4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£27,534</w:t>
            </w:r>
          </w:p>
        </w:tc>
        <w:tc>
          <w:tcPr>
            <w:tcW w:w="3559" w:type="dxa"/>
          </w:tcPr>
          <w:p w14:paraId="2088103E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£37,565</w:t>
            </w:r>
          </w:p>
        </w:tc>
        <w:tc>
          <w:tcPr>
            <w:tcW w:w="1257" w:type="dxa"/>
          </w:tcPr>
          <w:p w14:paraId="1EE3CEC0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£31,534</w:t>
            </w:r>
          </w:p>
        </w:tc>
        <w:tc>
          <w:tcPr>
            <w:tcW w:w="1686" w:type="dxa"/>
          </w:tcPr>
          <w:p w14:paraId="247F6661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£6,031</w:t>
            </w:r>
          </w:p>
        </w:tc>
      </w:tr>
      <w:tr w:rsidR="00292673" w:rsidRPr="00292673" w14:paraId="2632C4B4" w14:textId="77777777" w:rsidTr="00292673">
        <w:trPr>
          <w:trHeight w:val="287"/>
        </w:trPr>
        <w:tc>
          <w:tcPr>
            <w:tcW w:w="1794" w:type="dxa"/>
          </w:tcPr>
          <w:p w14:paraId="548B63A0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Top of Band 6</w:t>
            </w:r>
          </w:p>
        </w:tc>
        <w:tc>
          <w:tcPr>
            <w:tcW w:w="2051" w:type="dxa"/>
          </w:tcPr>
          <w:p w14:paraId="0279E664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£34,189</w:t>
            </w:r>
          </w:p>
        </w:tc>
        <w:tc>
          <w:tcPr>
            <w:tcW w:w="3559" w:type="dxa"/>
          </w:tcPr>
          <w:p w14:paraId="19884812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£46,644</w:t>
            </w:r>
          </w:p>
        </w:tc>
        <w:tc>
          <w:tcPr>
            <w:tcW w:w="1257" w:type="dxa"/>
          </w:tcPr>
          <w:p w14:paraId="1C41A7CC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£39,027</w:t>
            </w:r>
          </w:p>
        </w:tc>
        <w:tc>
          <w:tcPr>
            <w:tcW w:w="1686" w:type="dxa"/>
          </w:tcPr>
          <w:p w14:paraId="1DCEEBA4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£7,617</w:t>
            </w:r>
          </w:p>
        </w:tc>
      </w:tr>
      <w:tr w:rsidR="00292673" w:rsidRPr="00292673" w14:paraId="1F1D9ECA" w14:textId="77777777" w:rsidTr="00292673">
        <w:trPr>
          <w:trHeight w:val="287"/>
        </w:trPr>
        <w:tc>
          <w:tcPr>
            <w:tcW w:w="1794" w:type="dxa"/>
          </w:tcPr>
          <w:p w14:paraId="04B0E3DE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Top of Band 7</w:t>
            </w:r>
          </w:p>
        </w:tc>
        <w:tc>
          <w:tcPr>
            <w:tcW w:w="2051" w:type="dxa"/>
          </w:tcPr>
          <w:p w14:paraId="11227127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£40,157</w:t>
            </w:r>
          </w:p>
        </w:tc>
        <w:tc>
          <w:tcPr>
            <w:tcW w:w="3559" w:type="dxa"/>
          </w:tcPr>
          <w:p w14:paraId="715B8CCD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£54,787</w:t>
            </w:r>
          </w:p>
        </w:tc>
        <w:tc>
          <w:tcPr>
            <w:tcW w:w="1257" w:type="dxa"/>
          </w:tcPr>
          <w:p w14:paraId="6035980C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sz w:val="24"/>
                <w:szCs w:val="24"/>
              </w:rPr>
              <w:t>£45,839</w:t>
            </w:r>
          </w:p>
        </w:tc>
        <w:tc>
          <w:tcPr>
            <w:tcW w:w="1686" w:type="dxa"/>
          </w:tcPr>
          <w:p w14:paraId="0316DCB4" w14:textId="77777777" w:rsidR="00292673" w:rsidRPr="00292673" w:rsidRDefault="00292673" w:rsidP="002926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926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£8,948</w:t>
            </w:r>
          </w:p>
        </w:tc>
      </w:tr>
    </w:tbl>
    <w:p w14:paraId="50DFB986" w14:textId="0287BF4F" w:rsidR="003C5C9E" w:rsidRDefault="003C5C9E" w:rsidP="0029267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F79EAB" w14:textId="6E1B39C2" w:rsidR="006D64CC" w:rsidRDefault="00B8145B" w:rsidP="0029267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Imagine where we will be in another decade if </w:t>
      </w:r>
      <w:r w:rsidR="00781AD9">
        <w:rPr>
          <w:rFonts w:ascii="Arial" w:eastAsia="Arial" w:hAnsi="Arial" w:cs="Arial"/>
          <w:sz w:val="24"/>
          <w:szCs w:val="24"/>
        </w:rPr>
        <w:t xml:space="preserve">we </w:t>
      </w:r>
      <w:r>
        <w:rPr>
          <w:rFonts w:ascii="Arial" w:eastAsia="Arial" w:hAnsi="Arial" w:cs="Arial"/>
          <w:sz w:val="24"/>
          <w:szCs w:val="24"/>
        </w:rPr>
        <w:t>don’t take collective action. U</w:t>
      </w:r>
      <w:r w:rsidR="00A03CEA">
        <w:rPr>
          <w:rFonts w:ascii="Arial" w:eastAsia="Arial" w:hAnsi="Arial" w:cs="Arial"/>
          <w:sz w:val="24"/>
          <w:szCs w:val="24"/>
        </w:rPr>
        <w:t>NISON</w:t>
      </w:r>
      <w:r>
        <w:rPr>
          <w:rFonts w:ascii="Arial" w:eastAsia="Arial" w:hAnsi="Arial" w:cs="Arial"/>
          <w:sz w:val="24"/>
          <w:szCs w:val="24"/>
        </w:rPr>
        <w:t xml:space="preserve"> has consistently campaigned for better pay for its members and there will likely be another ballot for industrial action</w:t>
      </w:r>
      <w:r w:rsidR="00B62448">
        <w:rPr>
          <w:rFonts w:ascii="Arial" w:eastAsia="Arial" w:hAnsi="Arial" w:cs="Arial"/>
          <w:sz w:val="24"/>
          <w:szCs w:val="24"/>
        </w:rPr>
        <w:t>.</w:t>
      </w:r>
    </w:p>
    <w:p w14:paraId="619A1A64" w14:textId="77777777" w:rsidR="00B93BAB" w:rsidRDefault="00B93BAB" w:rsidP="0029267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3634D3" w14:textId="4677ADA4" w:rsidR="00B93BAB" w:rsidRDefault="00B62448" w:rsidP="0029267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can you do?</w:t>
      </w:r>
      <w:r w:rsidR="00E30C2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ready</w:t>
      </w:r>
      <w:r w:rsidR="007330F9">
        <w:rPr>
          <w:rFonts w:ascii="Arial" w:eastAsia="Arial" w:hAnsi="Arial" w:cs="Arial"/>
          <w:sz w:val="24"/>
          <w:szCs w:val="24"/>
        </w:rPr>
        <w:t xml:space="preserve"> to vote</w:t>
      </w:r>
      <w:r>
        <w:rPr>
          <w:rFonts w:ascii="Arial" w:eastAsia="Arial" w:hAnsi="Arial" w:cs="Arial"/>
          <w:sz w:val="24"/>
          <w:szCs w:val="24"/>
        </w:rPr>
        <w:t xml:space="preserve">. Make sure </w:t>
      </w:r>
      <w:r w:rsidRPr="00E30C2F">
        <w:rPr>
          <w:rFonts w:ascii="Arial" w:eastAsia="Arial" w:hAnsi="Arial" w:cs="Arial"/>
          <w:sz w:val="24"/>
          <w:szCs w:val="24"/>
        </w:rPr>
        <w:t>your contact details are up to date</w:t>
      </w:r>
      <w:r>
        <w:rPr>
          <w:rFonts w:ascii="Arial" w:eastAsia="Arial" w:hAnsi="Arial" w:cs="Arial"/>
          <w:sz w:val="24"/>
          <w:szCs w:val="24"/>
        </w:rPr>
        <w:t xml:space="preserve"> via </w:t>
      </w:r>
      <w:r w:rsidR="00A03CEA">
        <w:rPr>
          <w:rFonts w:ascii="Arial" w:eastAsia="Arial" w:hAnsi="Arial" w:cs="Arial"/>
          <w:sz w:val="24"/>
          <w:szCs w:val="24"/>
        </w:rPr>
        <w:t>‘My</w:t>
      </w:r>
      <w:r>
        <w:rPr>
          <w:rFonts w:ascii="Arial" w:eastAsia="Arial" w:hAnsi="Arial" w:cs="Arial"/>
          <w:sz w:val="24"/>
          <w:szCs w:val="24"/>
        </w:rPr>
        <w:t xml:space="preserve"> U</w:t>
      </w:r>
      <w:r w:rsidR="00A03CEA">
        <w:rPr>
          <w:rFonts w:ascii="Arial" w:eastAsia="Arial" w:hAnsi="Arial" w:cs="Arial"/>
          <w:sz w:val="24"/>
          <w:szCs w:val="24"/>
        </w:rPr>
        <w:t xml:space="preserve">NISON’ </w:t>
      </w:r>
      <w:r>
        <w:rPr>
          <w:rFonts w:ascii="Arial" w:eastAsia="Arial" w:hAnsi="Arial" w:cs="Arial"/>
          <w:sz w:val="24"/>
          <w:szCs w:val="24"/>
        </w:rPr>
        <w:t>or U</w:t>
      </w:r>
      <w:r w:rsidR="00A03CEA">
        <w:rPr>
          <w:rFonts w:ascii="Arial" w:eastAsia="Arial" w:hAnsi="Arial" w:cs="Arial"/>
          <w:sz w:val="24"/>
          <w:szCs w:val="24"/>
        </w:rPr>
        <w:t>NISON</w:t>
      </w:r>
      <w:r>
        <w:rPr>
          <w:rFonts w:ascii="Arial" w:eastAsia="Arial" w:hAnsi="Arial" w:cs="Arial"/>
          <w:sz w:val="24"/>
          <w:szCs w:val="24"/>
        </w:rPr>
        <w:t xml:space="preserve"> Direct on 0800 0 857 857.</w:t>
      </w:r>
      <w:r w:rsidR="000B22BB">
        <w:rPr>
          <w:rFonts w:ascii="Arial" w:eastAsia="Arial" w:hAnsi="Arial" w:cs="Arial"/>
          <w:sz w:val="24"/>
          <w:szCs w:val="24"/>
        </w:rPr>
        <w:t xml:space="preserve"> Contact </w:t>
      </w:r>
      <w:r w:rsidR="00A03CEA">
        <w:rPr>
          <w:rFonts w:ascii="Arial" w:eastAsia="Arial" w:hAnsi="Arial" w:cs="Arial"/>
          <w:sz w:val="24"/>
          <w:szCs w:val="24"/>
        </w:rPr>
        <w:t xml:space="preserve">yas.unison@nhs.net </w:t>
      </w:r>
      <w:r w:rsidR="000B22BB">
        <w:rPr>
          <w:rFonts w:ascii="Arial" w:eastAsia="Arial" w:hAnsi="Arial" w:cs="Arial"/>
          <w:sz w:val="24"/>
          <w:szCs w:val="24"/>
        </w:rPr>
        <w:t>if you want to get more involved, have any questions or comments.</w:t>
      </w:r>
    </w:p>
    <w:p w14:paraId="304F95E7" w14:textId="77777777" w:rsidR="00E30C2F" w:rsidRDefault="00E30C2F" w:rsidP="0029267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8B0BD1" w14:textId="7299BD0A" w:rsidR="000E026F" w:rsidRPr="000E026F" w:rsidRDefault="000B22BB" w:rsidP="00A03CEA">
      <w:pPr>
        <w:spacing w:after="0" w:line="240" w:lineRule="auto"/>
        <w:rPr>
          <w:lang w:eastAsia="en-GB"/>
        </w:rPr>
      </w:pPr>
      <w:r>
        <w:rPr>
          <w:rFonts w:ascii="Arial" w:eastAsia="Arial" w:hAnsi="Arial" w:cs="Arial"/>
          <w:b/>
          <w:bCs/>
          <w:sz w:val="24"/>
          <w:szCs w:val="24"/>
        </w:rPr>
        <w:t>A</w:t>
      </w:r>
      <w:r w:rsidR="004833C6" w:rsidRPr="000B22BB">
        <w:rPr>
          <w:rFonts w:ascii="Arial" w:eastAsia="Arial" w:hAnsi="Arial" w:cs="Arial"/>
          <w:b/>
          <w:bCs/>
          <w:sz w:val="24"/>
          <w:szCs w:val="24"/>
        </w:rPr>
        <w:t xml:space="preserve">ny </w:t>
      </w:r>
      <w:r>
        <w:rPr>
          <w:rFonts w:ascii="Arial" w:eastAsia="Arial" w:hAnsi="Arial" w:cs="Arial"/>
          <w:b/>
          <w:bCs/>
          <w:sz w:val="24"/>
          <w:szCs w:val="24"/>
        </w:rPr>
        <w:t>‘</w:t>
      </w:r>
      <w:r w:rsidR="004833C6" w:rsidRPr="000B22BB">
        <w:rPr>
          <w:rFonts w:ascii="Arial" w:eastAsia="Arial" w:hAnsi="Arial" w:cs="Arial"/>
          <w:b/>
          <w:bCs/>
          <w:sz w:val="24"/>
          <w:szCs w:val="24"/>
        </w:rPr>
        <w:t>pay rise</w:t>
      </w:r>
      <w:r>
        <w:rPr>
          <w:rFonts w:ascii="Arial" w:eastAsia="Arial" w:hAnsi="Arial" w:cs="Arial"/>
          <w:b/>
          <w:bCs/>
          <w:sz w:val="24"/>
          <w:szCs w:val="24"/>
        </w:rPr>
        <w:t>’</w:t>
      </w:r>
      <w:r w:rsidR="004833C6" w:rsidRPr="000B22BB">
        <w:rPr>
          <w:rFonts w:ascii="Arial" w:eastAsia="Arial" w:hAnsi="Arial" w:cs="Arial"/>
          <w:b/>
          <w:bCs/>
          <w:sz w:val="24"/>
          <w:szCs w:val="24"/>
        </w:rPr>
        <w:t xml:space="preserve"> less than inflation is another pay cut. </w:t>
      </w:r>
      <w:r w:rsidR="00B8145B" w:rsidRPr="000B22BB">
        <w:rPr>
          <w:rFonts w:ascii="Arial" w:eastAsia="Arial" w:hAnsi="Arial" w:cs="Arial"/>
          <w:b/>
          <w:bCs/>
          <w:sz w:val="24"/>
          <w:szCs w:val="24"/>
        </w:rPr>
        <w:t>We can’t pay our bills with claps.</w:t>
      </w:r>
      <w:r w:rsidR="000E026F">
        <w:br/>
      </w:r>
      <w:r w:rsidR="00983739">
        <w:t xml:space="preserve">                                                                                                                                                                   </w:t>
      </w:r>
    </w:p>
    <w:sectPr w:rsidR="000E026F" w:rsidRPr="000E026F" w:rsidSect="00E904CD">
      <w:headerReference w:type="default" r:id="rId7"/>
      <w:footerReference w:type="default" r:id="rId8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C4B5" w14:textId="77777777" w:rsidR="005842FC" w:rsidRDefault="005842FC" w:rsidP="00E904CD">
      <w:pPr>
        <w:spacing w:after="0" w:line="240" w:lineRule="auto"/>
      </w:pPr>
      <w:r>
        <w:separator/>
      </w:r>
    </w:p>
  </w:endnote>
  <w:endnote w:type="continuationSeparator" w:id="0">
    <w:p w14:paraId="7222B8D1" w14:textId="77777777" w:rsidR="005842FC" w:rsidRDefault="005842FC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C7D3" w14:textId="77777777"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7F94C7D6" wp14:editId="7F94C7D7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77FE" w14:textId="77777777" w:rsidR="005842FC" w:rsidRDefault="005842FC" w:rsidP="00E904CD">
      <w:pPr>
        <w:spacing w:after="0" w:line="240" w:lineRule="auto"/>
      </w:pPr>
      <w:r>
        <w:separator/>
      </w:r>
    </w:p>
  </w:footnote>
  <w:footnote w:type="continuationSeparator" w:id="0">
    <w:p w14:paraId="2C21123F" w14:textId="77777777" w:rsidR="005842FC" w:rsidRDefault="005842FC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C7D2" w14:textId="77777777"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7F94C7D4" wp14:editId="7F94C7D5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CD"/>
    <w:rsid w:val="00012E7D"/>
    <w:rsid w:val="000270E4"/>
    <w:rsid w:val="000B22BB"/>
    <w:rsid w:val="000B5DCF"/>
    <w:rsid w:val="000E026F"/>
    <w:rsid w:val="000E605B"/>
    <w:rsid w:val="0014375D"/>
    <w:rsid w:val="001A3DB9"/>
    <w:rsid w:val="001E0B0C"/>
    <w:rsid w:val="002447CF"/>
    <w:rsid w:val="00272469"/>
    <w:rsid w:val="00292673"/>
    <w:rsid w:val="002B6C89"/>
    <w:rsid w:val="002C028B"/>
    <w:rsid w:val="003772F5"/>
    <w:rsid w:val="003A36FB"/>
    <w:rsid w:val="003A4AFC"/>
    <w:rsid w:val="003C5C9E"/>
    <w:rsid w:val="003E07BD"/>
    <w:rsid w:val="003F2FCF"/>
    <w:rsid w:val="0042504A"/>
    <w:rsid w:val="00450230"/>
    <w:rsid w:val="00462671"/>
    <w:rsid w:val="00463468"/>
    <w:rsid w:val="004833C6"/>
    <w:rsid w:val="0048454A"/>
    <w:rsid w:val="00484843"/>
    <w:rsid w:val="00485092"/>
    <w:rsid w:val="004D6698"/>
    <w:rsid w:val="004F5C74"/>
    <w:rsid w:val="00511EB3"/>
    <w:rsid w:val="0057029A"/>
    <w:rsid w:val="0057792D"/>
    <w:rsid w:val="005842FC"/>
    <w:rsid w:val="005A5FDE"/>
    <w:rsid w:val="006D64CC"/>
    <w:rsid w:val="007330F9"/>
    <w:rsid w:val="00745DA1"/>
    <w:rsid w:val="00781AD9"/>
    <w:rsid w:val="007A4C19"/>
    <w:rsid w:val="008420D2"/>
    <w:rsid w:val="00876B67"/>
    <w:rsid w:val="008A7B44"/>
    <w:rsid w:val="0090501C"/>
    <w:rsid w:val="00913F3D"/>
    <w:rsid w:val="0097043B"/>
    <w:rsid w:val="00981BC4"/>
    <w:rsid w:val="00983739"/>
    <w:rsid w:val="00983C33"/>
    <w:rsid w:val="00A03CEA"/>
    <w:rsid w:val="00A1006B"/>
    <w:rsid w:val="00A330A1"/>
    <w:rsid w:val="00AA46C6"/>
    <w:rsid w:val="00B25B95"/>
    <w:rsid w:val="00B372BA"/>
    <w:rsid w:val="00B62448"/>
    <w:rsid w:val="00B8145B"/>
    <w:rsid w:val="00B84068"/>
    <w:rsid w:val="00B93BAB"/>
    <w:rsid w:val="00B96CFE"/>
    <w:rsid w:val="00BA1FFD"/>
    <w:rsid w:val="00BD2F39"/>
    <w:rsid w:val="00BE202A"/>
    <w:rsid w:val="00C0141B"/>
    <w:rsid w:val="00C0148A"/>
    <w:rsid w:val="00C05272"/>
    <w:rsid w:val="00C255D6"/>
    <w:rsid w:val="00C548C3"/>
    <w:rsid w:val="00CF6BCD"/>
    <w:rsid w:val="00D50445"/>
    <w:rsid w:val="00D84509"/>
    <w:rsid w:val="00D84C9B"/>
    <w:rsid w:val="00DA4E3A"/>
    <w:rsid w:val="00DA5873"/>
    <w:rsid w:val="00E30C2F"/>
    <w:rsid w:val="00E904CD"/>
    <w:rsid w:val="00EB1F1F"/>
    <w:rsid w:val="00EB3CC0"/>
    <w:rsid w:val="00EC419B"/>
    <w:rsid w:val="00EC61A5"/>
    <w:rsid w:val="00F06F25"/>
    <w:rsid w:val="00F176D7"/>
    <w:rsid w:val="00F24BA8"/>
    <w:rsid w:val="00F24C8A"/>
    <w:rsid w:val="00F52E83"/>
    <w:rsid w:val="00F571D4"/>
    <w:rsid w:val="00F76C8F"/>
    <w:rsid w:val="00F86721"/>
    <w:rsid w:val="00FB2E80"/>
    <w:rsid w:val="00FE4DFD"/>
    <w:rsid w:val="07C8A955"/>
    <w:rsid w:val="106102FE"/>
    <w:rsid w:val="1B3A604E"/>
    <w:rsid w:val="1C57C6C4"/>
    <w:rsid w:val="1DEF80FA"/>
    <w:rsid w:val="26FA0B9B"/>
    <w:rsid w:val="276754CB"/>
    <w:rsid w:val="277D3AE3"/>
    <w:rsid w:val="27BE405B"/>
    <w:rsid w:val="2D167558"/>
    <w:rsid w:val="3167E528"/>
    <w:rsid w:val="349F85EA"/>
    <w:rsid w:val="3548FFB1"/>
    <w:rsid w:val="3A22F201"/>
    <w:rsid w:val="3E5A0B7F"/>
    <w:rsid w:val="41C6FBF0"/>
    <w:rsid w:val="44FE9CB2"/>
    <w:rsid w:val="4B13B061"/>
    <w:rsid w:val="535274FF"/>
    <w:rsid w:val="53CEBD3A"/>
    <w:rsid w:val="5A7B4590"/>
    <w:rsid w:val="5EE2616C"/>
    <w:rsid w:val="61ACB8FE"/>
    <w:rsid w:val="64C2BDDF"/>
    <w:rsid w:val="77A63830"/>
    <w:rsid w:val="7942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C7B8"/>
  <w15:docId w15:val="{16B71DB6-0006-4C33-A798-C0AEE71F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4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61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1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92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F5EB-772A-47B2-9740-6AEFC426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2018-04-16T12:08:00Z</cp:lastPrinted>
  <dcterms:created xsi:type="dcterms:W3CDTF">2022-06-16T20:32:00Z</dcterms:created>
  <dcterms:modified xsi:type="dcterms:W3CDTF">2022-06-16T20:32:00Z</dcterms:modified>
</cp:coreProperties>
</file>