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F" w:rsidRDefault="00300D71" w:rsidP="00300D71">
      <w:r>
        <w:t xml:space="preserve">                                                                                                                                                                        </w:t>
      </w:r>
      <w:r w:rsidR="001C780B">
        <w:t xml:space="preserve">                     27/08/2020</w:t>
      </w:r>
    </w:p>
    <w:p w:rsidR="001C780B" w:rsidRPr="005D3CB3" w:rsidRDefault="001C780B" w:rsidP="001C780B">
      <w:pPr>
        <w:jc w:val="center"/>
        <w:rPr>
          <w:sz w:val="44"/>
          <w:szCs w:val="44"/>
        </w:rPr>
      </w:pPr>
      <w:r w:rsidRPr="005D3CB3">
        <w:rPr>
          <w:sz w:val="44"/>
          <w:szCs w:val="44"/>
        </w:rPr>
        <w:t>Attendance Management</w:t>
      </w:r>
      <w:r w:rsidR="005D3CB3" w:rsidRPr="005D3CB3">
        <w:rPr>
          <w:sz w:val="44"/>
          <w:szCs w:val="44"/>
        </w:rPr>
        <w:t xml:space="preserve"> regarding disability triggers</w:t>
      </w:r>
    </w:p>
    <w:p w:rsidR="001C780B" w:rsidRPr="005D3CB3" w:rsidRDefault="001C780B" w:rsidP="001C780B">
      <w:pPr>
        <w:rPr>
          <w:sz w:val="32"/>
          <w:szCs w:val="32"/>
        </w:rPr>
      </w:pPr>
      <w:r w:rsidRPr="005D3CB3">
        <w:rPr>
          <w:sz w:val="32"/>
          <w:szCs w:val="32"/>
        </w:rPr>
        <w:t>UNISON has been campaigning for the past few months for the Trust to adhere to its own A</w:t>
      </w:r>
      <w:r w:rsidR="004267E1" w:rsidRPr="005D3CB3">
        <w:rPr>
          <w:sz w:val="32"/>
          <w:szCs w:val="32"/>
        </w:rPr>
        <w:t>ttendance Management Policy in</w:t>
      </w:r>
      <w:r w:rsidRPr="005D3CB3">
        <w:rPr>
          <w:sz w:val="32"/>
          <w:szCs w:val="32"/>
        </w:rPr>
        <w:t xml:space="preserve"> regards to trigger points for me</w:t>
      </w:r>
      <w:r w:rsidR="00AF0046" w:rsidRPr="005D3CB3">
        <w:rPr>
          <w:sz w:val="32"/>
          <w:szCs w:val="32"/>
        </w:rPr>
        <w:t xml:space="preserve">mbers living with disabilities. </w:t>
      </w:r>
    </w:p>
    <w:p w:rsidR="004267E1" w:rsidRPr="005D3CB3" w:rsidRDefault="004267E1" w:rsidP="004267E1">
      <w:pPr>
        <w:rPr>
          <w:sz w:val="32"/>
          <w:szCs w:val="32"/>
        </w:rPr>
      </w:pPr>
      <w:r w:rsidRPr="005D3CB3">
        <w:rPr>
          <w:sz w:val="32"/>
          <w:szCs w:val="32"/>
        </w:rPr>
        <w:t>Despite there being no changes to the current Attenda</w:t>
      </w:r>
      <w:r w:rsidR="00D60126" w:rsidRPr="005D3CB3">
        <w:rPr>
          <w:sz w:val="32"/>
          <w:szCs w:val="32"/>
        </w:rPr>
        <w:t xml:space="preserve">nce Management Policy since 2014, recently </w:t>
      </w:r>
      <w:r w:rsidRPr="005D3CB3">
        <w:rPr>
          <w:sz w:val="32"/>
          <w:szCs w:val="32"/>
        </w:rPr>
        <w:t xml:space="preserve">all individuals </w:t>
      </w:r>
      <w:r w:rsidR="00D60126" w:rsidRPr="005D3CB3">
        <w:rPr>
          <w:sz w:val="32"/>
          <w:szCs w:val="32"/>
        </w:rPr>
        <w:t xml:space="preserve">have been progressed </w:t>
      </w:r>
      <w:r w:rsidRPr="005D3CB3">
        <w:rPr>
          <w:sz w:val="32"/>
          <w:szCs w:val="32"/>
        </w:rPr>
        <w:t>through the policy with no amendments to trigg</w:t>
      </w:r>
      <w:r w:rsidR="00D60126" w:rsidRPr="005D3CB3">
        <w:rPr>
          <w:sz w:val="32"/>
          <w:szCs w:val="32"/>
        </w:rPr>
        <w:t>ers,</w:t>
      </w:r>
      <w:r w:rsidRPr="005D3CB3">
        <w:rPr>
          <w:sz w:val="32"/>
          <w:szCs w:val="32"/>
        </w:rPr>
        <w:t xml:space="preserve"> until being summoned to a formal hearing. This clearly puts any member living with a disability which may affect their attendance</w:t>
      </w:r>
      <w:r w:rsidR="00AF0046" w:rsidRPr="005D3CB3">
        <w:rPr>
          <w:sz w:val="32"/>
          <w:szCs w:val="32"/>
        </w:rPr>
        <w:t>,</w:t>
      </w:r>
      <w:r w:rsidRPr="005D3CB3">
        <w:rPr>
          <w:sz w:val="32"/>
          <w:szCs w:val="32"/>
        </w:rPr>
        <w:t xml:space="preserve"> at a disadvantage. </w:t>
      </w:r>
    </w:p>
    <w:p w:rsidR="005D3CB3" w:rsidRDefault="001C780B" w:rsidP="001C780B">
      <w:pPr>
        <w:rPr>
          <w:sz w:val="32"/>
          <w:szCs w:val="32"/>
        </w:rPr>
      </w:pPr>
      <w:r w:rsidRPr="005D3CB3">
        <w:rPr>
          <w:sz w:val="32"/>
          <w:szCs w:val="32"/>
        </w:rPr>
        <w:t xml:space="preserve">UNISON has successfully argued that this may breach the Equality Act 2010, especially where members are being over looked </w:t>
      </w:r>
      <w:r w:rsidR="004267E1" w:rsidRPr="005D3CB3">
        <w:rPr>
          <w:sz w:val="32"/>
          <w:szCs w:val="32"/>
        </w:rPr>
        <w:t xml:space="preserve">for promotion or career changes. Therefore current policy regarding reasonable adjustments for any conditions considered likely to fall under the Equality Act 2010 </w:t>
      </w:r>
      <w:r w:rsidR="00D60126" w:rsidRPr="005D3CB3">
        <w:rPr>
          <w:sz w:val="32"/>
          <w:szCs w:val="32"/>
        </w:rPr>
        <w:t>will be adhered to and managers will discuss each case on an individual basis, taking into account medical, Occupational Health advice, with support from HR.</w:t>
      </w:r>
    </w:p>
    <w:p w:rsidR="005D3CB3" w:rsidRDefault="005D3CB3" w:rsidP="001C780B">
      <w:pPr>
        <w:rPr>
          <w:sz w:val="32"/>
          <w:szCs w:val="32"/>
        </w:rPr>
      </w:pPr>
    </w:p>
    <w:p w:rsidR="005D3CB3" w:rsidRDefault="005D3CB3" w:rsidP="001C780B">
      <w:pPr>
        <w:rPr>
          <w:sz w:val="32"/>
          <w:szCs w:val="32"/>
        </w:rPr>
      </w:pPr>
    </w:p>
    <w:p w:rsidR="005D3CB3" w:rsidRPr="005D3CB3" w:rsidRDefault="005D3CB3" w:rsidP="001C780B">
      <w:pPr>
        <w:rPr>
          <w:sz w:val="32"/>
          <w:szCs w:val="32"/>
        </w:rPr>
      </w:pPr>
      <w:r>
        <w:rPr>
          <w:sz w:val="32"/>
          <w:szCs w:val="32"/>
        </w:rPr>
        <w:t xml:space="preserve">Please contact your local steward or email </w:t>
      </w:r>
      <w:hyperlink r:id="rId8" w:history="1">
        <w:r w:rsidRPr="00064C67">
          <w:rPr>
            <w:rStyle w:val="Hyperlink"/>
            <w:sz w:val="32"/>
            <w:szCs w:val="32"/>
          </w:rPr>
          <w:t>yas.unison@nhs.net</w:t>
        </w:r>
      </w:hyperlink>
      <w:r>
        <w:rPr>
          <w:sz w:val="32"/>
          <w:szCs w:val="32"/>
        </w:rPr>
        <w:t xml:space="preserve"> for any further </w:t>
      </w:r>
      <w:bookmarkStart w:id="0" w:name="_GoBack"/>
      <w:bookmarkEnd w:id="0"/>
      <w:r>
        <w:rPr>
          <w:sz w:val="32"/>
          <w:szCs w:val="32"/>
        </w:rPr>
        <w:t>advice or representation.</w:t>
      </w:r>
    </w:p>
    <w:p w:rsidR="001C780B" w:rsidRPr="005D3CB3" w:rsidRDefault="001C780B" w:rsidP="001C780B">
      <w:pPr>
        <w:rPr>
          <w:sz w:val="32"/>
          <w:szCs w:val="32"/>
        </w:rPr>
      </w:pPr>
    </w:p>
    <w:p w:rsidR="001C780B" w:rsidRPr="005D3CB3" w:rsidRDefault="001C780B" w:rsidP="001C780B">
      <w:pPr>
        <w:rPr>
          <w:sz w:val="32"/>
          <w:szCs w:val="32"/>
        </w:rPr>
      </w:pPr>
    </w:p>
    <w:sectPr w:rsidR="001C780B" w:rsidRPr="005D3CB3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2301E8"/>
    <w:rsid w:val="002E3185"/>
    <w:rsid w:val="00300D71"/>
    <w:rsid w:val="0034653A"/>
    <w:rsid w:val="003A195D"/>
    <w:rsid w:val="003C6E2E"/>
    <w:rsid w:val="004267E1"/>
    <w:rsid w:val="004C763F"/>
    <w:rsid w:val="004C79A8"/>
    <w:rsid w:val="005D3CB3"/>
    <w:rsid w:val="006610EC"/>
    <w:rsid w:val="006872AF"/>
    <w:rsid w:val="00897E8A"/>
    <w:rsid w:val="008A7B44"/>
    <w:rsid w:val="00905B13"/>
    <w:rsid w:val="00952AC4"/>
    <w:rsid w:val="00A25208"/>
    <w:rsid w:val="00A4276D"/>
    <w:rsid w:val="00AF0046"/>
    <w:rsid w:val="00AF1DCA"/>
    <w:rsid w:val="00B11D4A"/>
    <w:rsid w:val="00B741DA"/>
    <w:rsid w:val="00C806F5"/>
    <w:rsid w:val="00D60126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25D3-59B8-4586-A118-11B2BA52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2018-05-14T10:53:00Z</cp:lastPrinted>
  <dcterms:created xsi:type="dcterms:W3CDTF">2020-09-01T11:24:00Z</dcterms:created>
  <dcterms:modified xsi:type="dcterms:W3CDTF">2020-09-01T11:24:00Z</dcterms:modified>
</cp:coreProperties>
</file>